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2A" w:rsidRDefault="009503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2CA786" wp14:editId="49238B0F">
            <wp:simplePos x="0" y="0"/>
            <wp:positionH relativeFrom="column">
              <wp:posOffset>1438275</wp:posOffset>
            </wp:positionH>
            <wp:positionV relativeFrom="paragraph">
              <wp:posOffset>-238125</wp:posOffset>
            </wp:positionV>
            <wp:extent cx="3667125" cy="1386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ot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2A" w:rsidRDefault="0095032A"/>
    <w:p w:rsidR="0095032A" w:rsidRDefault="0095032A"/>
    <w:p w:rsidR="0095032A" w:rsidRDefault="0095032A"/>
    <w:p w:rsidR="0095032A" w:rsidRDefault="0095032A"/>
    <w:p w:rsidR="0095032A" w:rsidRDefault="0095032A" w:rsidP="0095032A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 Bernadette’s Primary School and Nursery</w:t>
      </w:r>
    </w:p>
    <w:p w:rsidR="00B90065" w:rsidRPr="0095032A" w:rsidRDefault="0095032A" w:rsidP="0095032A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032A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Draft Positive Behaviour Policy</w:t>
      </w:r>
    </w:p>
    <w:p w:rsidR="0095032A" w:rsidRDefault="0095032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01CAD21E" wp14:editId="5CEB6B24">
            <wp:simplePos x="0" y="0"/>
            <wp:positionH relativeFrom="column">
              <wp:posOffset>2105025</wp:posOffset>
            </wp:positionH>
            <wp:positionV relativeFrom="paragraph">
              <wp:posOffset>2461260</wp:posOffset>
            </wp:positionV>
            <wp:extent cx="2687955" cy="2676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br w:type="page"/>
      </w:r>
    </w:p>
    <w:p w:rsidR="00F910A5" w:rsidRDefault="0095032A" w:rsidP="00F910A5">
      <w:r>
        <w:rPr>
          <w:b/>
        </w:rPr>
        <w:lastRenderedPageBreak/>
        <w:t>Rationale</w:t>
      </w:r>
    </w:p>
    <w:p w:rsidR="00F910A5" w:rsidRDefault="00735DAA" w:rsidP="00F910A5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94EECCC" wp14:editId="33DEFC1E">
            <wp:simplePos x="0" y="0"/>
            <wp:positionH relativeFrom="column">
              <wp:posOffset>4848225</wp:posOffset>
            </wp:positionH>
            <wp:positionV relativeFrom="paragraph">
              <wp:posOffset>904875</wp:posOffset>
            </wp:positionV>
            <wp:extent cx="927100" cy="69532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A5">
        <w:t xml:space="preserve">In St </w:t>
      </w:r>
      <w:r w:rsidR="003E1A2E">
        <w:t>Bernadette’s we</w:t>
      </w:r>
      <w:r w:rsidR="00F910A5">
        <w:t xml:space="preserve"> work in </w:t>
      </w:r>
      <w:r w:rsidR="003E1A2E">
        <w:t xml:space="preserve">partnerships with parents to create a positive ethos and </w:t>
      </w:r>
      <w:r w:rsidR="00F910A5">
        <w:t>environment for effective learning and teaching</w:t>
      </w:r>
      <w:r w:rsidR="003E1A2E">
        <w:t xml:space="preserve">.  </w:t>
      </w:r>
      <w:r w:rsidR="003E1A2E" w:rsidRPr="003D07C8">
        <w:t>Withi</w:t>
      </w:r>
      <w:r w:rsidR="003E1A2E">
        <w:t xml:space="preserve">n Curriculum for Excellence </w:t>
      </w:r>
      <w:r w:rsidR="003E1A2E" w:rsidRPr="003D07C8">
        <w:rPr>
          <w:b/>
        </w:rPr>
        <w:t xml:space="preserve">all </w:t>
      </w:r>
      <w:r w:rsidR="003E1A2E" w:rsidRPr="003D07C8">
        <w:t>staff are expected to be proactive in promoting positive relationships and behaviour in the classroom, playground and wider community.</w:t>
      </w:r>
      <w:r w:rsidR="003E1A2E">
        <w:t xml:space="preserve">  Our aim is to ensure that all young people </w:t>
      </w:r>
      <w:r w:rsidR="00A6234B">
        <w:t>in St Bernadette’s’ School and Nursery are</w:t>
      </w:r>
      <w:r w:rsidR="003E1A2E">
        <w:t>:</w:t>
      </w:r>
    </w:p>
    <w:p w:rsidR="003E1A2E" w:rsidRDefault="003E1A2E" w:rsidP="003E1A2E">
      <w:pPr>
        <w:pStyle w:val="ListParagraph"/>
        <w:numPr>
          <w:ilvl w:val="0"/>
          <w:numId w:val="2"/>
        </w:numPr>
      </w:pPr>
      <w:r>
        <w:t>Safe, secure and supported</w:t>
      </w:r>
    </w:p>
    <w:p w:rsidR="003E1A2E" w:rsidRDefault="003E1A2E" w:rsidP="003E1A2E">
      <w:pPr>
        <w:pStyle w:val="ListParagraph"/>
        <w:numPr>
          <w:ilvl w:val="0"/>
          <w:numId w:val="2"/>
        </w:numPr>
      </w:pPr>
      <w:r>
        <w:t>Included and respected</w:t>
      </w:r>
    </w:p>
    <w:p w:rsidR="003E1A2E" w:rsidRDefault="00A6234B" w:rsidP="003E1A2E">
      <w:pPr>
        <w:pStyle w:val="ListParagraph"/>
        <w:numPr>
          <w:ilvl w:val="0"/>
          <w:numId w:val="2"/>
        </w:numPr>
      </w:pPr>
      <w:r>
        <w:t>Valued and treated as individuals</w:t>
      </w:r>
    </w:p>
    <w:p w:rsidR="00A6234B" w:rsidRDefault="00A6234B" w:rsidP="003E1A2E">
      <w:pPr>
        <w:pStyle w:val="ListParagraph"/>
        <w:numPr>
          <w:ilvl w:val="0"/>
          <w:numId w:val="2"/>
        </w:numPr>
      </w:pPr>
      <w:r>
        <w:t>Supported to develop self-confidence and resilience</w:t>
      </w:r>
    </w:p>
    <w:p w:rsidR="00A6234B" w:rsidRDefault="00A6234B" w:rsidP="00A6234B"/>
    <w:p w:rsidR="00A6234B" w:rsidRDefault="00A6234B" w:rsidP="00A6234B">
      <w:pPr>
        <w:rPr>
          <w:b/>
        </w:rPr>
      </w:pPr>
      <w:r w:rsidRPr="001934B4">
        <w:rPr>
          <w:b/>
        </w:rPr>
        <w:t>All behaviour strategies have been designed in consultation with staff, pupils, parents and carers</w:t>
      </w:r>
    </w:p>
    <w:p w:rsidR="000E7ACE" w:rsidRPr="000E7ACE" w:rsidRDefault="00735DAA" w:rsidP="00A6234B">
      <w:pPr>
        <w:rPr>
          <w:b/>
        </w:rPr>
      </w:pPr>
      <w:r>
        <w:rPr>
          <w:b/>
        </w:rPr>
        <w:br w:type="page"/>
      </w:r>
      <w:r w:rsidR="00A6234B" w:rsidRPr="000E7ACE">
        <w:rPr>
          <w:b/>
          <w:sz w:val="28"/>
          <w:szCs w:val="28"/>
          <w:u w:val="single"/>
        </w:rPr>
        <w:lastRenderedPageBreak/>
        <w:t>Rights Respecting Schools</w:t>
      </w:r>
    </w:p>
    <w:p w:rsidR="00735DAA" w:rsidRPr="000E7ACE" w:rsidRDefault="000E7ACE" w:rsidP="00A6234B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8C6DDB" wp14:editId="345F52A3">
            <wp:simplePos x="0" y="0"/>
            <wp:positionH relativeFrom="column">
              <wp:posOffset>3634740</wp:posOffset>
            </wp:positionH>
            <wp:positionV relativeFrom="paragraph">
              <wp:posOffset>-777875</wp:posOffset>
            </wp:positionV>
            <wp:extent cx="1479925" cy="101473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AA" w:rsidRPr="000E7ACE">
        <w:rPr>
          <w:b/>
          <w:sz w:val="28"/>
          <w:szCs w:val="28"/>
          <w:u w:val="single"/>
        </w:rPr>
        <w:t xml:space="preserve"> </w:t>
      </w:r>
    </w:p>
    <w:p w:rsidR="00735DAA" w:rsidRDefault="00A6234B" w:rsidP="00A6234B">
      <w:r>
        <w:t xml:space="preserve">St Bernadette’s Primary and Nursery are working towards achieving Rights Respecting Schools status.  </w:t>
      </w:r>
      <w:r w:rsidR="00735DAA">
        <w:t>We will do this in collaboration with children, parents, carers and the wider community.</w:t>
      </w:r>
    </w:p>
    <w:p w:rsidR="001934B4" w:rsidRPr="001934B4" w:rsidRDefault="001934B4" w:rsidP="00A6234B">
      <w:pPr>
        <w:rPr>
          <w:i/>
          <w:color w:val="FF0000"/>
        </w:rPr>
      </w:pPr>
      <w:r w:rsidRPr="001934B4">
        <w:rPr>
          <w:i/>
          <w:color w:val="FF0000"/>
        </w:rPr>
        <w:t xml:space="preserve">The following sets of Rights and Responsibilities have been drawn up by some P6/7 children – they will </w:t>
      </w:r>
      <w:r w:rsidR="00B90065" w:rsidRPr="001934B4">
        <w:rPr>
          <w:i/>
          <w:color w:val="FF0000"/>
        </w:rPr>
        <w:t>be shared</w:t>
      </w:r>
      <w:r w:rsidRPr="001934B4">
        <w:rPr>
          <w:i/>
          <w:color w:val="FF0000"/>
        </w:rPr>
        <w:t xml:space="preserve"> and adapted.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A6234B" w:rsidTr="004D4B47">
        <w:tc>
          <w:tcPr>
            <w:tcW w:w="2802" w:type="dxa"/>
            <w:shd w:val="clear" w:color="auto" w:fill="F2F2F2" w:themeFill="background1" w:themeFillShade="F2"/>
          </w:tcPr>
          <w:p w:rsidR="00A6234B" w:rsidRPr="00F266EF" w:rsidRDefault="00A6234B" w:rsidP="00B90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Children’s </w:t>
            </w:r>
            <w:r w:rsidRPr="00F266EF">
              <w:rPr>
                <w:b/>
                <w:sz w:val="28"/>
                <w:szCs w:val="28"/>
              </w:rPr>
              <w:t>Rights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A6234B" w:rsidRPr="00F266EF" w:rsidRDefault="00A6234B" w:rsidP="00B90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Children’s </w:t>
            </w:r>
            <w:r w:rsidRPr="00F266EF">
              <w:rPr>
                <w:b/>
                <w:sz w:val="28"/>
                <w:szCs w:val="28"/>
              </w:rPr>
              <w:t>Responsibilities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4D4B47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have their </w:t>
            </w:r>
            <w:r w:rsidR="004D4B47">
              <w:rPr>
                <w:rFonts w:cstheme="minorHAnsi"/>
              </w:rPr>
              <w:t>voices heard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Listen to others</w:t>
            </w:r>
            <w:r w:rsidR="004D4B47">
              <w:rPr>
                <w:rFonts w:cstheme="minorHAnsi"/>
              </w:rPr>
              <w:t xml:space="preserve"> and </w:t>
            </w:r>
            <w:r w:rsidRPr="004D4B47">
              <w:rPr>
                <w:rFonts w:cstheme="minorHAnsi"/>
              </w:rPr>
              <w:t xml:space="preserve"> turns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disagree in ‘non-hurtful’ ways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respected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respect others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say please </w:t>
            </w:r>
            <w:r w:rsidR="001934B4">
              <w:rPr>
                <w:rFonts w:cstheme="minorHAnsi"/>
              </w:rPr>
              <w:t>and</w:t>
            </w:r>
            <w:r w:rsidRPr="004D4B47">
              <w:rPr>
                <w:rFonts w:cstheme="minorHAnsi"/>
              </w:rPr>
              <w:t xml:space="preserve"> thank you</w:t>
            </w:r>
          </w:p>
          <w:p w:rsidR="00A6234B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look after each other within a group</w:t>
            </w:r>
          </w:p>
          <w:p w:rsidR="004D4B47" w:rsidRPr="004D4B47" w:rsidRDefault="004D4B47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support </w:t>
            </w:r>
            <w:r>
              <w:rPr>
                <w:rFonts w:cstheme="minorHAnsi"/>
              </w:rPr>
              <w:t xml:space="preserve"> others and </w:t>
            </w:r>
            <w:r w:rsidRPr="004D4B47">
              <w:rPr>
                <w:rFonts w:cstheme="minorHAnsi"/>
              </w:rPr>
              <w:t>say kind things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play</w:t>
            </w:r>
            <w:r w:rsidR="004D4B47">
              <w:rPr>
                <w:rFonts w:cstheme="minorHAnsi"/>
              </w:rPr>
              <w:t xml:space="preserve"> safely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take turns</w:t>
            </w:r>
            <w:r w:rsidR="004D4B47">
              <w:rPr>
                <w:rFonts w:cstheme="minorHAnsi"/>
              </w:rPr>
              <w:t xml:space="preserve">, </w:t>
            </w:r>
            <w:r w:rsidRPr="004D4B47">
              <w:rPr>
                <w:rFonts w:cstheme="minorHAnsi"/>
              </w:rPr>
              <w:t>share</w:t>
            </w:r>
            <w:r w:rsidR="000C76E3" w:rsidRPr="004D4B47">
              <w:rPr>
                <w:rFonts w:cstheme="minorHAnsi"/>
              </w:rPr>
              <w:t xml:space="preserve"> and be </w:t>
            </w:r>
            <w:r w:rsidRPr="004D4B47">
              <w:rPr>
                <w:rFonts w:cstheme="minorHAnsi"/>
              </w:rPr>
              <w:t>gentle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occupy the same space co-operatively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a good sport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treated equally and fairly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treat everyone equally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acknowledge the worth of others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treat others fairly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confident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express support / no put downs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encourage others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participate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allow everyone to participate equally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their self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let others be their self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negotiate</w:t>
            </w:r>
            <w:r w:rsidR="004D4B47" w:rsidRPr="004D4B47">
              <w:rPr>
                <w:rFonts w:cstheme="minorHAnsi"/>
              </w:rPr>
              <w:t xml:space="preserve"> and </w:t>
            </w:r>
            <w:r w:rsidRPr="004D4B47">
              <w:rPr>
                <w:rFonts w:cstheme="minorHAnsi"/>
              </w:rPr>
              <w:t xml:space="preserve"> accept differences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assertive in acceptable ways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0C76E3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</w:t>
            </w:r>
            <w:r w:rsidR="000C76E3" w:rsidRPr="004D4B47">
              <w:rPr>
                <w:rFonts w:cstheme="minorHAnsi"/>
              </w:rPr>
              <w:t>feel</w:t>
            </w:r>
            <w:r w:rsidRPr="004D4B47">
              <w:rPr>
                <w:rFonts w:cstheme="minorHAnsi"/>
              </w:rPr>
              <w:t xml:space="preserve"> </w:t>
            </w:r>
            <w:r w:rsidR="000C76E3" w:rsidRPr="004D4B47">
              <w:rPr>
                <w:rFonts w:cstheme="minorHAnsi"/>
              </w:rPr>
              <w:t xml:space="preserve">safe and </w:t>
            </w:r>
            <w:r w:rsidRPr="004D4B47">
              <w:rPr>
                <w:rFonts w:cstheme="minorHAnsi"/>
              </w:rPr>
              <w:t>protected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tell someone if they are having troubles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s</w:t>
            </w:r>
            <w:r w:rsidR="004D4B47" w:rsidRPr="004D4B47">
              <w:rPr>
                <w:rFonts w:cstheme="minorHAnsi"/>
              </w:rPr>
              <w:t xml:space="preserve">elf-controlled and control 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resolve conflicts</w:t>
            </w:r>
            <w:r w:rsidR="000C76E3" w:rsidRPr="004D4B47">
              <w:rPr>
                <w:rFonts w:cstheme="minorHAnsi"/>
              </w:rPr>
              <w:t xml:space="preserve"> without violence of any kind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behave in a way which keeps themself and others safe</w:t>
            </w:r>
          </w:p>
        </w:tc>
      </w:tr>
      <w:tr w:rsidR="00A6234B" w:rsidRPr="004D4B47" w:rsidTr="00A6234B">
        <w:tc>
          <w:tcPr>
            <w:tcW w:w="2802" w:type="dxa"/>
          </w:tcPr>
          <w:p w:rsidR="00A6234B" w:rsidRPr="004D4B47" w:rsidRDefault="00A6234B" w:rsidP="000C76E3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learn </w:t>
            </w:r>
            <w:r w:rsidR="004D4B47">
              <w:rPr>
                <w:rFonts w:cstheme="minorHAnsi"/>
              </w:rPr>
              <w:t>in an attractive school</w:t>
            </w:r>
          </w:p>
        </w:tc>
        <w:tc>
          <w:tcPr>
            <w:tcW w:w="7654" w:type="dxa"/>
          </w:tcPr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ignore distractions</w:t>
            </w:r>
            <w:r w:rsidR="004D4B47" w:rsidRPr="004D4B47">
              <w:rPr>
                <w:rFonts w:cstheme="minorHAnsi"/>
              </w:rPr>
              <w:t xml:space="preserve"> and </w:t>
            </w:r>
            <w:r w:rsidRPr="004D4B47">
              <w:rPr>
                <w:rFonts w:cstheme="minorHAnsi"/>
              </w:rPr>
              <w:t>follow directions</w:t>
            </w:r>
          </w:p>
          <w:p w:rsidR="00A6234B" w:rsidRPr="004D4B47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Ask appropriate questions</w:t>
            </w:r>
          </w:p>
          <w:p w:rsidR="004D4B47" w:rsidRPr="004D4B47" w:rsidRDefault="00A6234B" w:rsidP="004D4B47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attend school regularly</w:t>
            </w:r>
            <w:r w:rsidR="004D4B47" w:rsidRPr="004D4B47">
              <w:rPr>
                <w:rFonts w:cstheme="minorHAnsi"/>
              </w:rPr>
              <w:t xml:space="preserve"> and o be willing to work hard</w:t>
            </w:r>
          </w:p>
          <w:p w:rsidR="00A6234B" w:rsidRDefault="00A6234B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allow others to learn</w:t>
            </w:r>
          </w:p>
          <w:p w:rsidR="004D4B47" w:rsidRPr="004D4B47" w:rsidRDefault="004D4B47" w:rsidP="00B90065">
            <w:pPr>
              <w:rPr>
                <w:rFonts w:cstheme="minorHAnsi"/>
              </w:rPr>
            </w:pPr>
            <w:r>
              <w:rPr>
                <w:rFonts w:cstheme="minorHAnsi"/>
              </w:rPr>
              <w:t>To look after school resources</w:t>
            </w:r>
          </w:p>
        </w:tc>
      </w:tr>
    </w:tbl>
    <w:p w:rsidR="00A6234B" w:rsidRDefault="00A6234B" w:rsidP="00A6234B">
      <w:pPr>
        <w:rPr>
          <w:rFonts w:cstheme="minorHAnsi"/>
        </w:rPr>
      </w:pPr>
    </w:p>
    <w:p w:rsidR="007E1E8B" w:rsidRDefault="007E1E8B" w:rsidP="00A6234B">
      <w:pPr>
        <w:rPr>
          <w:rFonts w:cstheme="minorHAnsi"/>
        </w:rPr>
      </w:pPr>
    </w:p>
    <w:p w:rsidR="007E1E8B" w:rsidRDefault="007E1E8B" w:rsidP="00A6234B">
      <w:pPr>
        <w:rPr>
          <w:rFonts w:cstheme="minorHAnsi"/>
        </w:rPr>
      </w:pPr>
    </w:p>
    <w:p w:rsidR="000E7ACE" w:rsidRDefault="000E7ACE" w:rsidP="00A6234B">
      <w:pPr>
        <w:rPr>
          <w:rFonts w:cstheme="minorHAnsi"/>
        </w:rPr>
      </w:pPr>
    </w:p>
    <w:p w:rsidR="000E7ACE" w:rsidRDefault="000E7ACE" w:rsidP="00A6234B">
      <w:pPr>
        <w:rPr>
          <w:rFonts w:cstheme="minorHAnsi"/>
        </w:rPr>
      </w:pPr>
    </w:p>
    <w:p w:rsidR="000E7ACE" w:rsidRDefault="000E7ACE" w:rsidP="00A6234B">
      <w:pPr>
        <w:rPr>
          <w:rFonts w:cstheme="minorHAnsi"/>
        </w:rPr>
      </w:pPr>
    </w:p>
    <w:p w:rsidR="000E7ACE" w:rsidRDefault="000E7ACE" w:rsidP="00A6234B">
      <w:pPr>
        <w:rPr>
          <w:rFonts w:cstheme="minorHAnsi"/>
        </w:rPr>
      </w:pPr>
    </w:p>
    <w:p w:rsidR="000E7ACE" w:rsidRDefault="000E7ACE" w:rsidP="00A6234B">
      <w:pPr>
        <w:rPr>
          <w:rFonts w:cstheme="minorHAnsi"/>
        </w:rPr>
      </w:pPr>
    </w:p>
    <w:p w:rsidR="007E1E8B" w:rsidRPr="004D4B47" w:rsidRDefault="007E1E8B" w:rsidP="00A623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2"/>
      </w:tblGrid>
      <w:tr w:rsidR="000C76E3" w:rsidRPr="004D4B47" w:rsidTr="000C76E3">
        <w:trPr>
          <w:trHeight w:val="315"/>
        </w:trPr>
        <w:tc>
          <w:tcPr>
            <w:tcW w:w="2802" w:type="dxa"/>
          </w:tcPr>
          <w:p w:rsidR="000C76E3" w:rsidRPr="004D4B47" w:rsidRDefault="000C76E3" w:rsidP="00B90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4B47">
              <w:rPr>
                <w:rFonts w:cstheme="minorHAnsi"/>
                <w:b/>
                <w:sz w:val="28"/>
                <w:szCs w:val="28"/>
              </w:rPr>
              <w:lastRenderedPageBreak/>
              <w:t>Staff Rights</w:t>
            </w:r>
          </w:p>
        </w:tc>
        <w:tc>
          <w:tcPr>
            <w:tcW w:w="7612" w:type="dxa"/>
          </w:tcPr>
          <w:p w:rsidR="000C76E3" w:rsidRPr="004D4B47" w:rsidRDefault="000C76E3" w:rsidP="00B90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4B47">
              <w:rPr>
                <w:rFonts w:cstheme="minorHAnsi"/>
                <w:b/>
                <w:sz w:val="28"/>
                <w:szCs w:val="28"/>
              </w:rPr>
              <w:t>Staff Responsibilities</w:t>
            </w:r>
          </w:p>
        </w:tc>
      </w:tr>
      <w:tr w:rsidR="000C76E3" w:rsidRPr="004D4B47" w:rsidTr="000C76E3">
        <w:trPr>
          <w:trHeight w:val="501"/>
        </w:trPr>
        <w:tc>
          <w:tcPr>
            <w:tcW w:w="2802" w:type="dxa"/>
          </w:tcPr>
          <w:p w:rsidR="000C76E3" w:rsidRPr="004D4B47" w:rsidRDefault="000C76E3" w:rsidP="000C76E3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teach </w:t>
            </w:r>
          </w:p>
        </w:tc>
        <w:tc>
          <w:tcPr>
            <w:tcW w:w="761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plan and deliver </w:t>
            </w:r>
            <w:r w:rsidR="001934B4">
              <w:rPr>
                <w:rFonts w:cstheme="minorHAnsi"/>
              </w:rPr>
              <w:t>exciting and fun</w:t>
            </w:r>
            <w:r w:rsidRPr="004D4B47">
              <w:rPr>
                <w:rFonts w:cstheme="minorHAnsi"/>
              </w:rPr>
              <w:t xml:space="preserve"> lessons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interact effectively with colleagues and children</w:t>
            </w:r>
          </w:p>
        </w:tc>
      </w:tr>
      <w:tr w:rsidR="000C76E3" w:rsidRPr="004D4B47" w:rsidTr="000C76E3">
        <w:trPr>
          <w:trHeight w:val="759"/>
        </w:trPr>
        <w:tc>
          <w:tcPr>
            <w:tcW w:w="280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say what they believe</w:t>
            </w:r>
          </w:p>
        </w:tc>
        <w:tc>
          <w:tcPr>
            <w:tcW w:w="761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listen to </w:t>
            </w:r>
            <w:r w:rsidR="004D4B47">
              <w:rPr>
                <w:rFonts w:cstheme="minorHAnsi"/>
              </w:rPr>
              <w:t>children and all adults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disagree in ‘non-hurtful’ ways</w:t>
            </w:r>
          </w:p>
        </w:tc>
      </w:tr>
      <w:tr w:rsidR="000C76E3" w:rsidRPr="004D4B47" w:rsidTr="000E7ACE">
        <w:trPr>
          <w:trHeight w:val="1329"/>
        </w:trPr>
        <w:tc>
          <w:tcPr>
            <w:tcW w:w="280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respected and happy</w:t>
            </w:r>
          </w:p>
        </w:tc>
        <w:tc>
          <w:tcPr>
            <w:tcW w:w="761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respect their colleagues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make the best interests of every child a top priority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treat everyone equally and fairly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focus on positive behaviour</w:t>
            </w:r>
          </w:p>
        </w:tc>
      </w:tr>
      <w:tr w:rsidR="001934B4" w:rsidRPr="004D4B47" w:rsidTr="000E7ACE">
        <w:trPr>
          <w:trHeight w:val="970"/>
        </w:trPr>
        <w:tc>
          <w:tcPr>
            <w:tcW w:w="2802" w:type="dxa"/>
          </w:tcPr>
          <w:p w:rsidR="001934B4" w:rsidRPr="004D4B47" w:rsidRDefault="001934B4" w:rsidP="00B90065">
            <w:pPr>
              <w:rPr>
                <w:rFonts w:cstheme="minorHAnsi"/>
              </w:rPr>
            </w:pPr>
            <w:r>
              <w:rPr>
                <w:rFonts w:cstheme="minorHAnsi"/>
              </w:rPr>
              <w:t>To teach in an attractive environment</w:t>
            </w:r>
          </w:p>
        </w:tc>
        <w:tc>
          <w:tcPr>
            <w:tcW w:w="7612" w:type="dxa"/>
          </w:tcPr>
          <w:p w:rsidR="001934B4" w:rsidRDefault="001934B4" w:rsidP="00B90065">
            <w:pPr>
              <w:rPr>
                <w:rFonts w:cstheme="minorHAnsi"/>
              </w:rPr>
            </w:pPr>
            <w:r>
              <w:rPr>
                <w:rFonts w:cstheme="minorHAnsi"/>
              </w:rPr>
              <w:t>To keep the school tidy</w:t>
            </w:r>
          </w:p>
          <w:p w:rsidR="001934B4" w:rsidRPr="004D4B47" w:rsidRDefault="001934B4" w:rsidP="00B90065">
            <w:pPr>
              <w:rPr>
                <w:rFonts w:cstheme="minorHAnsi"/>
              </w:rPr>
            </w:pPr>
            <w:r>
              <w:rPr>
                <w:rFonts w:cstheme="minorHAnsi"/>
              </w:rPr>
              <w:t>To look after school resources</w:t>
            </w:r>
          </w:p>
        </w:tc>
      </w:tr>
    </w:tbl>
    <w:p w:rsidR="00A6234B" w:rsidRPr="004D4B47" w:rsidRDefault="00A6234B" w:rsidP="00A6234B">
      <w:pPr>
        <w:rPr>
          <w:rFonts w:cstheme="minorHAnsi"/>
        </w:rPr>
      </w:pPr>
    </w:p>
    <w:p w:rsidR="000C76E3" w:rsidRPr="004D4B47" w:rsidRDefault="000C76E3" w:rsidP="00A623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0C76E3" w:rsidRPr="004D4B47" w:rsidTr="000E7ACE">
        <w:tc>
          <w:tcPr>
            <w:tcW w:w="2802" w:type="dxa"/>
          </w:tcPr>
          <w:p w:rsidR="000C76E3" w:rsidRPr="004D4B47" w:rsidRDefault="000C76E3" w:rsidP="00B90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4B47">
              <w:rPr>
                <w:rFonts w:cstheme="minorHAnsi"/>
                <w:b/>
                <w:sz w:val="28"/>
                <w:szCs w:val="28"/>
              </w:rPr>
              <w:t>Parents’ Rights</w:t>
            </w:r>
          </w:p>
        </w:tc>
        <w:tc>
          <w:tcPr>
            <w:tcW w:w="7654" w:type="dxa"/>
          </w:tcPr>
          <w:p w:rsidR="000C76E3" w:rsidRPr="004D4B47" w:rsidRDefault="000C76E3" w:rsidP="00B90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4B47">
              <w:rPr>
                <w:rFonts w:cstheme="minorHAnsi"/>
                <w:b/>
                <w:sz w:val="28"/>
                <w:szCs w:val="28"/>
              </w:rPr>
              <w:t>Parents’ Responsibilities</w:t>
            </w:r>
          </w:p>
        </w:tc>
      </w:tr>
      <w:tr w:rsidR="000C76E3" w:rsidRPr="004D4B47" w:rsidTr="000E7ACE">
        <w:tc>
          <w:tcPr>
            <w:tcW w:w="280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have guidance</w:t>
            </w:r>
          </w:p>
        </w:tc>
        <w:tc>
          <w:tcPr>
            <w:tcW w:w="7654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make sure children are following the rules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work in partnership with the school</w:t>
            </w:r>
          </w:p>
        </w:tc>
      </w:tr>
      <w:tr w:rsidR="000C76E3" w:rsidRPr="004D4B47" w:rsidTr="000E7ACE">
        <w:tc>
          <w:tcPr>
            <w:tcW w:w="280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see their child in school</w:t>
            </w:r>
          </w:p>
        </w:tc>
        <w:tc>
          <w:tcPr>
            <w:tcW w:w="7654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attend parent consultations, open evenings, workshops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talk about school with their child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ensure children attend regularly</w:t>
            </w:r>
          </w:p>
        </w:tc>
      </w:tr>
      <w:tr w:rsidR="000C76E3" w:rsidRPr="004D4B47" w:rsidTr="000E7ACE">
        <w:tc>
          <w:tcPr>
            <w:tcW w:w="280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 xml:space="preserve">To say what they believe </w:t>
            </w:r>
          </w:p>
        </w:tc>
        <w:tc>
          <w:tcPr>
            <w:tcW w:w="7654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Listen to others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Take turns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disagree in ‘non-hurtful’ ways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talk with school staff about any concerns they may have</w:t>
            </w:r>
          </w:p>
        </w:tc>
      </w:tr>
      <w:tr w:rsidR="000C76E3" w:rsidRPr="004D4B47" w:rsidTr="000E7ACE">
        <w:trPr>
          <w:trHeight w:val="1343"/>
        </w:trPr>
        <w:tc>
          <w:tcPr>
            <w:tcW w:w="2802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be happy</w:t>
            </w:r>
          </w:p>
        </w:tc>
        <w:tc>
          <w:tcPr>
            <w:tcW w:w="7654" w:type="dxa"/>
          </w:tcPr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make their children happy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show love and affection to their children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keep their children emotionally safe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keep their children physically safe</w:t>
            </w:r>
          </w:p>
          <w:p w:rsidR="000C76E3" w:rsidRPr="004D4B47" w:rsidRDefault="000C76E3" w:rsidP="00B90065">
            <w:pPr>
              <w:rPr>
                <w:rFonts w:cstheme="minorHAnsi"/>
              </w:rPr>
            </w:pPr>
            <w:r w:rsidRPr="004D4B47">
              <w:rPr>
                <w:rFonts w:cstheme="minorHAnsi"/>
              </w:rPr>
              <w:t>To look after and take care of their children</w:t>
            </w:r>
          </w:p>
        </w:tc>
      </w:tr>
    </w:tbl>
    <w:p w:rsidR="003D07C8" w:rsidRDefault="003D07C8" w:rsidP="0095032A">
      <w:pPr>
        <w:rPr>
          <w:rFonts w:cstheme="minorHAnsi"/>
        </w:rPr>
      </w:pPr>
    </w:p>
    <w:p w:rsidR="007E1E8B" w:rsidRDefault="007E1E8B">
      <w:pPr>
        <w:rPr>
          <w:rFonts w:cstheme="minorHAnsi"/>
        </w:rPr>
      </w:pPr>
      <w:r>
        <w:rPr>
          <w:rFonts w:cstheme="minorHAnsi"/>
        </w:rPr>
        <w:br w:type="page"/>
      </w:r>
    </w:p>
    <w:p w:rsidR="007E1E8B" w:rsidRPr="000E7ACE" w:rsidRDefault="007E1E8B" w:rsidP="007E1E8B">
      <w:pPr>
        <w:rPr>
          <w:b/>
          <w:sz w:val="28"/>
          <w:szCs w:val="28"/>
          <w:u w:val="single"/>
        </w:rPr>
      </w:pPr>
      <w:r w:rsidRPr="000E7ACE">
        <w:rPr>
          <w:b/>
          <w:sz w:val="28"/>
          <w:szCs w:val="28"/>
          <w:u w:val="single"/>
        </w:rPr>
        <w:lastRenderedPageBreak/>
        <w:t>Whole School Approach to Positive Behaviour</w:t>
      </w:r>
    </w:p>
    <w:p w:rsidR="00735DAA" w:rsidRDefault="000E7ACE" w:rsidP="007E1E8B">
      <w:pPr>
        <w:rPr>
          <w:b/>
          <w:u w:val="single"/>
        </w:rPr>
      </w:pPr>
      <w:r w:rsidRPr="000E7AC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B963AB6" wp14:editId="7D574EE0">
            <wp:simplePos x="0" y="0"/>
            <wp:positionH relativeFrom="column">
              <wp:posOffset>2113915</wp:posOffset>
            </wp:positionH>
            <wp:positionV relativeFrom="paragraph">
              <wp:posOffset>4445</wp:posOffset>
            </wp:positionV>
            <wp:extent cx="1861820" cy="75057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-fe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DAA" w:rsidRDefault="00735DAA" w:rsidP="007E1E8B">
      <w:pPr>
        <w:rPr>
          <w:b/>
          <w:u w:val="single"/>
        </w:rPr>
      </w:pPr>
    </w:p>
    <w:p w:rsidR="00735DAA" w:rsidRPr="00761FEF" w:rsidRDefault="00735DAA" w:rsidP="007E1E8B">
      <w:pPr>
        <w:rPr>
          <w:b/>
          <w:u w:val="single"/>
        </w:rPr>
      </w:pPr>
    </w:p>
    <w:p w:rsidR="007E1E8B" w:rsidRDefault="007E1E8B" w:rsidP="007E1E8B">
      <w:r>
        <w:t xml:space="preserve">The management team, all teachers and support staff will use the </w:t>
      </w:r>
      <w:r w:rsidRPr="00735DAA">
        <w:rPr>
          <w:b/>
        </w:rPr>
        <w:t>Dojo points system and Golden Time Rewards</w:t>
      </w:r>
      <w:r>
        <w:t>.</w:t>
      </w:r>
    </w:p>
    <w:p w:rsidR="007E1E8B" w:rsidRDefault="007E1E8B" w:rsidP="007E1E8B">
      <w:r>
        <w:rPr>
          <w:b/>
        </w:rPr>
        <w:t xml:space="preserve">The </w:t>
      </w:r>
      <w:r w:rsidRPr="00261E0A">
        <w:rPr>
          <w:b/>
        </w:rPr>
        <w:t>Senior Management Team</w:t>
      </w:r>
      <w:r>
        <w:rPr>
          <w:b/>
        </w:rPr>
        <w:t xml:space="preserve"> </w:t>
      </w:r>
      <w:r w:rsidRPr="008A6AA9">
        <w:t>will award dojo points to Classes, groups and individuals that display positive behaviour and achievements e.g.</w:t>
      </w:r>
    </w:p>
    <w:p w:rsidR="007E1E8B" w:rsidRDefault="007E1E8B" w:rsidP="007E1E8B">
      <w:pPr>
        <w:pStyle w:val="ListParagraph"/>
        <w:numPr>
          <w:ilvl w:val="0"/>
          <w:numId w:val="4"/>
        </w:numPr>
      </w:pPr>
      <w:r>
        <w:t>Walking in the corridors</w:t>
      </w:r>
    </w:p>
    <w:p w:rsidR="007E1E8B" w:rsidRDefault="007E1E8B" w:rsidP="007E1E8B">
      <w:pPr>
        <w:pStyle w:val="ListParagraph"/>
        <w:numPr>
          <w:ilvl w:val="0"/>
          <w:numId w:val="4"/>
        </w:numPr>
      </w:pPr>
      <w:r>
        <w:t>Good manners</w:t>
      </w:r>
    </w:p>
    <w:p w:rsidR="007E1E8B" w:rsidRDefault="007E1E8B" w:rsidP="007E1E8B">
      <w:pPr>
        <w:pStyle w:val="ListParagraph"/>
        <w:numPr>
          <w:ilvl w:val="0"/>
          <w:numId w:val="4"/>
        </w:numPr>
      </w:pPr>
      <w:r>
        <w:t>Special Achievements</w:t>
      </w:r>
    </w:p>
    <w:p w:rsidR="007E1E8B" w:rsidRDefault="007E1E8B" w:rsidP="007E1E8B">
      <w:pPr>
        <w:pStyle w:val="ListParagraph"/>
        <w:numPr>
          <w:ilvl w:val="0"/>
          <w:numId w:val="4"/>
        </w:numPr>
      </w:pPr>
      <w:r>
        <w:t xml:space="preserve">Positive attitudes </w:t>
      </w:r>
    </w:p>
    <w:p w:rsidR="007E1E8B" w:rsidRPr="00261E0A" w:rsidRDefault="007E1E8B" w:rsidP="007E1E8B">
      <w:pPr>
        <w:pStyle w:val="ListParagraph"/>
      </w:pPr>
    </w:p>
    <w:p w:rsidR="007E1E8B" w:rsidRPr="008A6AA9" w:rsidRDefault="007E1E8B" w:rsidP="007E1E8B">
      <w:r w:rsidRPr="008A6AA9">
        <w:rPr>
          <w:b/>
        </w:rPr>
        <w:t>Class teachers</w:t>
      </w:r>
      <w:r w:rsidRPr="008A6AA9">
        <w:t xml:space="preserve"> will award dojo points to Classes, groups and individuals that display positive behaviour and achievements e.g.</w:t>
      </w:r>
    </w:p>
    <w:p w:rsidR="007E1E8B" w:rsidRDefault="007E1E8B" w:rsidP="007E1E8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Four Capacities</w:t>
      </w:r>
    </w:p>
    <w:p w:rsidR="007E1E8B" w:rsidRDefault="007E1E8B" w:rsidP="007E1E8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Successful Learning</w:t>
      </w:r>
    </w:p>
    <w:p w:rsidR="007E1E8B" w:rsidRDefault="000E7ACE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1D49EA22" wp14:editId="37A7CDD4">
            <wp:simplePos x="0" y="0"/>
            <wp:positionH relativeFrom="column">
              <wp:posOffset>4752975</wp:posOffset>
            </wp:positionH>
            <wp:positionV relativeFrom="paragraph">
              <wp:posOffset>27305</wp:posOffset>
            </wp:positionV>
            <wp:extent cx="1066800" cy="1066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ng my bes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E8B">
        <w:rPr>
          <w:b/>
        </w:rPr>
        <w:t>Hard working attitude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Using imagination and creativity… </w:t>
      </w:r>
    </w:p>
    <w:p w:rsidR="007E1E8B" w:rsidRDefault="007E1E8B" w:rsidP="007E1E8B">
      <w:pPr>
        <w:pStyle w:val="ListParagraph"/>
        <w:ind w:left="2160"/>
        <w:rPr>
          <w:b/>
        </w:rPr>
      </w:pPr>
    </w:p>
    <w:p w:rsidR="007E1E8B" w:rsidRDefault="007E1E8B" w:rsidP="007E1E8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Confident Individual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Accepting leadership roles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Bouncing back from setbacks…</w:t>
      </w:r>
    </w:p>
    <w:p w:rsidR="007E1E8B" w:rsidRDefault="007E1E8B" w:rsidP="007E1E8B">
      <w:pPr>
        <w:pStyle w:val="ListParagraph"/>
        <w:ind w:left="2160"/>
        <w:rPr>
          <w:b/>
        </w:rPr>
      </w:pPr>
    </w:p>
    <w:p w:rsidR="007E1E8B" w:rsidRDefault="007E1E8B" w:rsidP="007E1E8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Responsible Citizen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Taking care of school resources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Looking after their local environment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Being kind and helpful…</w:t>
      </w:r>
    </w:p>
    <w:p w:rsidR="007E1E8B" w:rsidRDefault="007E1E8B" w:rsidP="007E1E8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Effective Contributors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Working cooperatively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Sharing materials </w:t>
      </w:r>
    </w:p>
    <w:p w:rsidR="007E1E8B" w:rsidRDefault="007E1E8B" w:rsidP="007E1E8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Talking about their views…</w:t>
      </w:r>
    </w:p>
    <w:p w:rsidR="007E1E8B" w:rsidRPr="00261E0A" w:rsidRDefault="007E1E8B" w:rsidP="007E1E8B">
      <w:pPr>
        <w:rPr>
          <w:b/>
        </w:rPr>
      </w:pPr>
    </w:p>
    <w:p w:rsidR="007E1E8B" w:rsidRDefault="007E1E8B" w:rsidP="007E1E8B">
      <w:r>
        <w:rPr>
          <w:b/>
        </w:rPr>
        <w:t xml:space="preserve">Support staff </w:t>
      </w:r>
      <w:r>
        <w:t>w</w:t>
      </w:r>
      <w:r w:rsidRPr="004D76F6">
        <w:t xml:space="preserve">ill issue golden tickets during play time for children display positive behaviour and achievements.  These tickets will be converted into Dojo points.  </w:t>
      </w:r>
    </w:p>
    <w:p w:rsidR="007E1E8B" w:rsidRDefault="00AF1E73" w:rsidP="007E1E8B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F7E1418" wp14:editId="62D5ADCA">
            <wp:simplePos x="0" y="0"/>
            <wp:positionH relativeFrom="column">
              <wp:posOffset>3828415</wp:posOffset>
            </wp:positionH>
            <wp:positionV relativeFrom="paragraph">
              <wp:posOffset>-3175</wp:posOffset>
            </wp:positionV>
            <wp:extent cx="1123950" cy="577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olden tick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E8B">
        <w:t>Playing well</w:t>
      </w:r>
    </w:p>
    <w:p w:rsidR="007E1E8B" w:rsidRDefault="007E1E8B" w:rsidP="007E1E8B">
      <w:pPr>
        <w:pStyle w:val="ListParagraph"/>
        <w:numPr>
          <w:ilvl w:val="0"/>
          <w:numId w:val="3"/>
        </w:numPr>
      </w:pPr>
      <w:r>
        <w:t>Looking after playground resources</w:t>
      </w:r>
    </w:p>
    <w:p w:rsidR="007E1E8B" w:rsidRDefault="007E1E8B" w:rsidP="007E1E8B">
      <w:pPr>
        <w:pStyle w:val="ListParagraph"/>
        <w:numPr>
          <w:ilvl w:val="0"/>
          <w:numId w:val="3"/>
        </w:numPr>
      </w:pPr>
      <w:r>
        <w:t>Helping other</w:t>
      </w:r>
    </w:p>
    <w:p w:rsidR="007E1E8B" w:rsidRDefault="007E1E8B" w:rsidP="007E1E8B">
      <w:pPr>
        <w:pStyle w:val="ListParagraph"/>
        <w:numPr>
          <w:ilvl w:val="0"/>
          <w:numId w:val="3"/>
        </w:numPr>
      </w:pPr>
      <w:r>
        <w:t>Including others in their games</w:t>
      </w:r>
    </w:p>
    <w:p w:rsidR="007E1E8B" w:rsidRDefault="007E1E8B" w:rsidP="007E1E8B">
      <w:pPr>
        <w:pStyle w:val="ListParagraph"/>
        <w:numPr>
          <w:ilvl w:val="0"/>
          <w:numId w:val="3"/>
        </w:numPr>
      </w:pPr>
      <w:r>
        <w:t>Lining up when play time ends</w:t>
      </w:r>
    </w:p>
    <w:p w:rsidR="007E1E8B" w:rsidRDefault="007E1E8B" w:rsidP="007E1E8B">
      <w:pPr>
        <w:ind w:left="360"/>
        <w:rPr>
          <w:b/>
        </w:rPr>
      </w:pPr>
    </w:p>
    <w:p w:rsidR="007E1E8B" w:rsidRPr="000E7ACE" w:rsidRDefault="007E1E8B" w:rsidP="000E7ACE">
      <w:pPr>
        <w:rPr>
          <w:b/>
          <w:sz w:val="28"/>
          <w:szCs w:val="28"/>
          <w:u w:val="single"/>
        </w:rPr>
      </w:pPr>
      <w:r w:rsidRPr="000E7ACE">
        <w:rPr>
          <w:b/>
          <w:sz w:val="28"/>
          <w:szCs w:val="28"/>
          <w:u w:val="single"/>
        </w:rPr>
        <w:t>Dojo Rewards</w:t>
      </w:r>
      <w:r w:rsidR="000E7ACE" w:rsidRPr="000E7ACE">
        <w:rPr>
          <w:b/>
          <w:sz w:val="28"/>
          <w:szCs w:val="28"/>
          <w:u w:val="single"/>
        </w:rPr>
        <w:t xml:space="preserve"> and Golden Time</w:t>
      </w:r>
    </w:p>
    <w:p w:rsidR="007E1E8B" w:rsidRDefault="007E1E8B" w:rsidP="007E1E8B">
      <w:pPr>
        <w:ind w:left="360"/>
      </w:pPr>
      <w:r w:rsidRPr="002D0A5A">
        <w:t>Class dojo points will be celebrated at weekly assemblies.</w:t>
      </w:r>
      <w: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E1E8B" w:rsidTr="00B90065">
        <w:tc>
          <w:tcPr>
            <w:tcW w:w="4621" w:type="dxa"/>
            <w:shd w:val="clear" w:color="auto" w:fill="D9D9D9" w:themeFill="background1" w:themeFillShade="D9"/>
          </w:tcPr>
          <w:p w:rsidR="007E1E8B" w:rsidRDefault="007E1E8B" w:rsidP="00B90065">
            <w:r>
              <w:t>Class Awards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E1E8B" w:rsidRDefault="007E1E8B" w:rsidP="00B90065">
            <w:r>
              <w:t xml:space="preserve">Rewards </w:t>
            </w:r>
          </w:p>
        </w:tc>
      </w:tr>
      <w:tr w:rsidR="007E1E8B" w:rsidTr="00B90065">
        <w:tc>
          <w:tcPr>
            <w:tcW w:w="4621" w:type="dxa"/>
          </w:tcPr>
          <w:p w:rsidR="007E1E8B" w:rsidRDefault="007E1E8B" w:rsidP="00B90065">
            <w:r>
              <w:t>Class of the week</w:t>
            </w:r>
          </w:p>
        </w:tc>
        <w:tc>
          <w:tcPr>
            <w:tcW w:w="4621" w:type="dxa"/>
          </w:tcPr>
          <w:p w:rsidR="007E1E8B" w:rsidRDefault="007E1E8B" w:rsidP="00B90065">
            <w:r>
              <w:t>Extra 10 minutes break</w:t>
            </w:r>
          </w:p>
        </w:tc>
      </w:tr>
      <w:tr w:rsidR="007E1E8B" w:rsidTr="00B90065">
        <w:tc>
          <w:tcPr>
            <w:tcW w:w="4621" w:type="dxa"/>
          </w:tcPr>
          <w:p w:rsidR="007E1E8B" w:rsidRDefault="007E1E8B" w:rsidP="00B90065">
            <w:r>
              <w:t>Class of the month</w:t>
            </w:r>
          </w:p>
        </w:tc>
        <w:tc>
          <w:tcPr>
            <w:tcW w:w="4621" w:type="dxa"/>
          </w:tcPr>
          <w:p w:rsidR="007E1E8B" w:rsidRDefault="007E1E8B" w:rsidP="00B90065">
            <w:r>
              <w:t>A trophy and double golden time activities</w:t>
            </w:r>
          </w:p>
        </w:tc>
      </w:tr>
      <w:tr w:rsidR="007E1E8B" w:rsidTr="00B90065">
        <w:tc>
          <w:tcPr>
            <w:tcW w:w="4621" w:type="dxa"/>
          </w:tcPr>
          <w:p w:rsidR="007E1E8B" w:rsidRDefault="007E1E8B" w:rsidP="00B90065">
            <w:r>
              <w:t>Class of the term</w:t>
            </w:r>
          </w:p>
        </w:tc>
        <w:tc>
          <w:tcPr>
            <w:tcW w:w="4621" w:type="dxa"/>
          </w:tcPr>
          <w:p w:rsidR="007E1E8B" w:rsidRDefault="007E1E8B" w:rsidP="00B90065">
            <w:r>
              <w:t>A trophy and an afternoon of golden time</w:t>
            </w:r>
          </w:p>
        </w:tc>
      </w:tr>
      <w:tr w:rsidR="007E1E8B" w:rsidTr="00B90065">
        <w:tc>
          <w:tcPr>
            <w:tcW w:w="4621" w:type="dxa"/>
          </w:tcPr>
          <w:p w:rsidR="007E1E8B" w:rsidRDefault="007E1E8B" w:rsidP="00B90065">
            <w:r>
              <w:t>Class of the Year</w:t>
            </w:r>
          </w:p>
        </w:tc>
        <w:tc>
          <w:tcPr>
            <w:tcW w:w="4621" w:type="dxa"/>
          </w:tcPr>
          <w:p w:rsidR="007E1E8B" w:rsidRDefault="007E1E8B" w:rsidP="00B90065">
            <w:r>
              <w:t>An extra class trip paid for by the school</w:t>
            </w:r>
          </w:p>
        </w:tc>
      </w:tr>
    </w:tbl>
    <w:p w:rsidR="007E1E8B" w:rsidRDefault="007E1E8B" w:rsidP="007E1E8B">
      <w:pPr>
        <w:ind w:left="360"/>
      </w:pPr>
    </w:p>
    <w:p w:rsidR="00EB2D19" w:rsidRPr="00761FEF" w:rsidRDefault="00EB2D19" w:rsidP="007E1E8B">
      <w:pPr>
        <w:ind w:left="360"/>
        <w:rPr>
          <w:b/>
          <w:i/>
          <w:color w:val="FF0000"/>
        </w:rPr>
      </w:pPr>
      <w:r w:rsidRPr="00761FEF">
        <w:rPr>
          <w:b/>
          <w:i/>
          <w:color w:val="FF0000"/>
        </w:rPr>
        <w:t>The children’s focus group stated that they think children who have not behaved should not be rewarded for class of the week.</w:t>
      </w:r>
    </w:p>
    <w:p w:rsidR="007E1E8B" w:rsidRPr="00761FEF" w:rsidRDefault="007E1E8B" w:rsidP="007E1E8B">
      <w:pPr>
        <w:ind w:left="360"/>
        <w:rPr>
          <w:b/>
          <w:u w:val="single"/>
        </w:rPr>
      </w:pPr>
      <w:r w:rsidRPr="00761FEF">
        <w:rPr>
          <w:b/>
          <w:u w:val="single"/>
        </w:rPr>
        <w:t xml:space="preserve">Golden </w:t>
      </w:r>
      <w:r w:rsidR="00EB2D19" w:rsidRPr="00761FEF">
        <w:rPr>
          <w:b/>
          <w:u w:val="single"/>
        </w:rPr>
        <w:t>Time Structures</w:t>
      </w:r>
    </w:p>
    <w:p w:rsidR="0092645E" w:rsidRDefault="0092645E" w:rsidP="007E1E8B">
      <w:pPr>
        <w:ind w:left="360"/>
      </w:pPr>
      <w:r w:rsidRPr="0092645E">
        <w:t xml:space="preserve">This takes place in St Bernadette’s </w:t>
      </w:r>
      <w:r w:rsidR="00EB2D19" w:rsidRPr="0092645E">
        <w:t>on Friday</w:t>
      </w:r>
      <w:r w:rsidRPr="0092645E">
        <w:t xml:space="preserve"> afternoon from 2:15pm.  Children currently bring toys and games from home</w:t>
      </w:r>
      <w:r>
        <w:t xml:space="preserve"> and have access to various class activities.  The children’s focus group have recently made the following suggestions for additional </w:t>
      </w:r>
      <w:r w:rsidR="00EB2D19">
        <w:t>activities</w:t>
      </w:r>
      <w:r>
        <w:t>.</w:t>
      </w:r>
    </w:p>
    <w:p w:rsidR="00EB2D19" w:rsidRDefault="00EB2D19" w:rsidP="00EB2D19">
      <w:pPr>
        <w:pStyle w:val="ListParagraph"/>
        <w:numPr>
          <w:ilvl w:val="0"/>
          <w:numId w:val="8"/>
        </w:numPr>
      </w:pPr>
      <w:r>
        <w:t>Cartoon or movies in two classes</w:t>
      </w:r>
    </w:p>
    <w:p w:rsidR="00EB2D19" w:rsidRDefault="00EB2D19" w:rsidP="00EB2D19">
      <w:pPr>
        <w:pStyle w:val="ListParagraph"/>
        <w:numPr>
          <w:ilvl w:val="0"/>
          <w:numId w:val="8"/>
        </w:numPr>
      </w:pPr>
      <w:r>
        <w:t>Table tennis and football tables</w:t>
      </w:r>
    </w:p>
    <w:p w:rsidR="00EB2D19" w:rsidRDefault="00EB2D19" w:rsidP="00EB2D19">
      <w:pPr>
        <w:pStyle w:val="ListParagraph"/>
        <w:numPr>
          <w:ilvl w:val="0"/>
          <w:numId w:val="8"/>
        </w:numPr>
      </w:pPr>
      <w:r>
        <w:t>Cooking in the community room</w:t>
      </w:r>
    </w:p>
    <w:p w:rsidR="00EB2D19" w:rsidRDefault="00EB2D19" w:rsidP="00EB2D19">
      <w:pPr>
        <w:pStyle w:val="ListParagraph"/>
        <w:numPr>
          <w:ilvl w:val="0"/>
          <w:numId w:val="8"/>
        </w:numPr>
      </w:pPr>
      <w:r>
        <w:t>Dance mats</w:t>
      </w:r>
    </w:p>
    <w:p w:rsidR="00EB2D19" w:rsidRDefault="00EB2D19" w:rsidP="00EB2D19">
      <w:pPr>
        <w:pStyle w:val="ListParagraph"/>
        <w:numPr>
          <w:ilvl w:val="0"/>
          <w:numId w:val="8"/>
        </w:numPr>
      </w:pPr>
      <w:r>
        <w:t>X box</w:t>
      </w:r>
    </w:p>
    <w:p w:rsidR="00EB2D19" w:rsidRDefault="00EB2D19" w:rsidP="00EB2D19">
      <w:pPr>
        <w:pStyle w:val="ListParagraph"/>
        <w:numPr>
          <w:ilvl w:val="0"/>
          <w:numId w:val="8"/>
        </w:numPr>
      </w:pPr>
      <w:r>
        <w:t>Special golden time boxes for class of the week.</w:t>
      </w:r>
    </w:p>
    <w:p w:rsidR="00EB2D19" w:rsidRPr="00761FEF" w:rsidRDefault="00EB2D19" w:rsidP="00761FEF">
      <w:pPr>
        <w:ind w:left="360"/>
        <w:rPr>
          <w:b/>
          <w:i/>
          <w:color w:val="FF0000"/>
        </w:rPr>
      </w:pPr>
      <w:r w:rsidRPr="00761FEF">
        <w:rPr>
          <w:b/>
          <w:i/>
          <w:color w:val="FF0000"/>
        </w:rPr>
        <w:t>We have agreed to look for ways that some of the above activities can be included.</w:t>
      </w:r>
    </w:p>
    <w:p w:rsidR="0092645E" w:rsidRPr="0092645E" w:rsidRDefault="0092645E" w:rsidP="007E1E8B">
      <w:pPr>
        <w:ind w:left="360"/>
      </w:pPr>
    </w:p>
    <w:p w:rsidR="007E1E8B" w:rsidRPr="00761FEF" w:rsidRDefault="007E1E8B" w:rsidP="007E1E8B">
      <w:pPr>
        <w:ind w:left="360"/>
        <w:rPr>
          <w:b/>
          <w:u w:val="single"/>
        </w:rPr>
      </w:pPr>
      <w:r w:rsidRPr="00761FEF">
        <w:rPr>
          <w:b/>
          <w:u w:val="single"/>
        </w:rPr>
        <w:t>Sanctions for children who lose golden Time</w:t>
      </w:r>
    </w:p>
    <w:p w:rsidR="007E1E8B" w:rsidRPr="00296781" w:rsidRDefault="007E1E8B" w:rsidP="007E1E8B">
      <w:pPr>
        <w:pStyle w:val="ListParagraph"/>
        <w:numPr>
          <w:ilvl w:val="0"/>
          <w:numId w:val="7"/>
        </w:numPr>
      </w:pPr>
      <w:r w:rsidRPr="00296781">
        <w:t>Additional or unfinished class work</w:t>
      </w:r>
    </w:p>
    <w:p w:rsidR="007E1E8B" w:rsidRPr="00296781" w:rsidRDefault="007E1E8B" w:rsidP="007E1E8B">
      <w:pPr>
        <w:pStyle w:val="ListParagraph"/>
        <w:numPr>
          <w:ilvl w:val="0"/>
          <w:numId w:val="7"/>
        </w:numPr>
      </w:pPr>
      <w:r w:rsidRPr="00296781">
        <w:t>Write about their behaviour and how they will improve</w:t>
      </w:r>
    </w:p>
    <w:p w:rsidR="007E1E8B" w:rsidRPr="00296781" w:rsidRDefault="007E1E8B" w:rsidP="007E1E8B">
      <w:pPr>
        <w:pStyle w:val="ListParagraph"/>
        <w:numPr>
          <w:ilvl w:val="0"/>
          <w:numId w:val="7"/>
        </w:numPr>
      </w:pPr>
      <w:r w:rsidRPr="00296781">
        <w:t xml:space="preserve">Mediation </w:t>
      </w:r>
      <w:r w:rsidR="00EB2D19">
        <w:t xml:space="preserve">with trained staff member </w:t>
      </w:r>
      <w:r w:rsidRPr="00296781">
        <w:t>for children who regularly lose golden time</w:t>
      </w:r>
    </w:p>
    <w:p w:rsidR="007E1E8B" w:rsidRDefault="000E7ACE" w:rsidP="00761FEF">
      <w:pPr>
        <w:rPr>
          <w:b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B838645" wp14:editId="7FC2FA8D">
            <wp:simplePos x="0" y="0"/>
            <wp:positionH relativeFrom="column">
              <wp:posOffset>2257425</wp:posOffset>
            </wp:positionH>
            <wp:positionV relativeFrom="paragraph">
              <wp:posOffset>240665</wp:posOffset>
            </wp:positionV>
            <wp:extent cx="1047750" cy="996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Z6RH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65" w:rsidRDefault="00B90065" w:rsidP="007E1E8B">
      <w:pPr>
        <w:ind w:left="360"/>
        <w:rPr>
          <w:b/>
          <w:u w:val="single"/>
        </w:rPr>
      </w:pPr>
    </w:p>
    <w:p w:rsidR="00B90065" w:rsidRDefault="00B90065" w:rsidP="007E1E8B">
      <w:pPr>
        <w:ind w:left="360"/>
        <w:rPr>
          <w:b/>
          <w:u w:val="single"/>
        </w:rPr>
      </w:pPr>
    </w:p>
    <w:p w:rsidR="00B90065" w:rsidRDefault="00B90065" w:rsidP="007E1E8B">
      <w:pPr>
        <w:ind w:left="360"/>
        <w:rPr>
          <w:b/>
          <w:u w:val="single"/>
        </w:rPr>
      </w:pPr>
    </w:p>
    <w:p w:rsidR="00B90065" w:rsidRDefault="00B90065" w:rsidP="007E1E8B">
      <w:pPr>
        <w:ind w:left="360"/>
        <w:rPr>
          <w:b/>
          <w:u w:val="single"/>
        </w:rPr>
      </w:pPr>
    </w:p>
    <w:p w:rsidR="00B90065" w:rsidRDefault="00B90065" w:rsidP="007E1E8B">
      <w:pPr>
        <w:ind w:left="360"/>
        <w:rPr>
          <w:b/>
          <w:u w:val="single"/>
        </w:rPr>
      </w:pPr>
    </w:p>
    <w:p w:rsidR="00B90065" w:rsidRDefault="00B90065" w:rsidP="007E1E8B">
      <w:pPr>
        <w:ind w:left="360"/>
        <w:rPr>
          <w:b/>
          <w:u w:val="single"/>
        </w:rPr>
      </w:pPr>
    </w:p>
    <w:p w:rsidR="000E7ACE" w:rsidRDefault="000E7ACE" w:rsidP="007E1E8B">
      <w:pPr>
        <w:ind w:left="360"/>
        <w:rPr>
          <w:b/>
          <w:u w:val="single"/>
        </w:rPr>
      </w:pPr>
    </w:p>
    <w:p w:rsidR="000E7ACE" w:rsidRDefault="000E7ACE" w:rsidP="007E1E8B">
      <w:pPr>
        <w:ind w:left="360"/>
        <w:rPr>
          <w:b/>
          <w:u w:val="single"/>
        </w:rPr>
      </w:pPr>
    </w:p>
    <w:p w:rsidR="007E1E8B" w:rsidRPr="000E7ACE" w:rsidRDefault="007E1E8B" w:rsidP="007E1E8B">
      <w:pPr>
        <w:ind w:left="360"/>
        <w:rPr>
          <w:b/>
          <w:sz w:val="28"/>
          <w:szCs w:val="28"/>
        </w:rPr>
      </w:pPr>
      <w:r w:rsidRPr="000E7ACE">
        <w:rPr>
          <w:b/>
          <w:sz w:val="28"/>
          <w:szCs w:val="28"/>
          <w:u w:val="single"/>
        </w:rPr>
        <w:t>Staged intervention approach to promote positive behaviou</w:t>
      </w:r>
      <w:r w:rsidRPr="000E7ACE">
        <w:rPr>
          <w:b/>
          <w:sz w:val="28"/>
          <w:szCs w:val="28"/>
        </w:rPr>
        <w:t>r</w:t>
      </w:r>
    </w:p>
    <w:p w:rsidR="007E1E8B" w:rsidRDefault="007E1E8B" w:rsidP="007E1E8B">
      <w:pPr>
        <w:ind w:left="360"/>
        <w:rPr>
          <w:b/>
        </w:rPr>
      </w:pPr>
      <w:r>
        <w:rPr>
          <w:b/>
        </w:rPr>
        <w:t>Falkirk Council adapts a staged intervention approach to support children.  St Bernadette’s Primary School and Nursery have adapted this approach for use a class and school level.</w:t>
      </w:r>
    </w:p>
    <w:p w:rsidR="007E1E8B" w:rsidRDefault="007E1E8B" w:rsidP="007E1E8B">
      <w:pPr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402"/>
        <w:gridCol w:w="4172"/>
      </w:tblGrid>
      <w:tr w:rsidR="007E1E8B" w:rsidTr="00B90065">
        <w:tc>
          <w:tcPr>
            <w:tcW w:w="1308" w:type="dxa"/>
            <w:shd w:val="clear" w:color="auto" w:fill="D9D9D9" w:themeFill="background1" w:themeFillShade="D9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Types of behaviours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</w:tc>
      </w:tr>
      <w:tr w:rsidR="007E1E8B" w:rsidTr="00B90065">
        <w:tc>
          <w:tcPr>
            <w:tcW w:w="1308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Minor one-off events</w:t>
            </w:r>
          </w:p>
        </w:tc>
        <w:tc>
          <w:tcPr>
            <w:tcW w:w="4172" w:type="dxa"/>
          </w:tcPr>
          <w:p w:rsidR="007E1E8B" w:rsidRDefault="007E1E8B" w:rsidP="00B90065">
            <w:pPr>
              <w:rPr>
                <w:b/>
              </w:rPr>
            </w:pPr>
            <w:r w:rsidRPr="00CF0AB1">
              <w:rPr>
                <w:b/>
              </w:rPr>
              <w:t xml:space="preserve">Class teacher </w:t>
            </w:r>
            <w:r>
              <w:rPr>
                <w:b/>
              </w:rPr>
              <w:t>support and intervention</w:t>
            </w:r>
          </w:p>
          <w:p w:rsidR="007E1E8B" w:rsidRPr="00CF0AB1" w:rsidRDefault="007E1E8B" w:rsidP="007E1E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F0AB1">
              <w:rPr>
                <w:b/>
              </w:rPr>
              <w:t>Lose dojo points</w:t>
            </w:r>
          </w:p>
          <w:p w:rsidR="007E1E8B" w:rsidRDefault="007E1E8B" w:rsidP="007E1E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Lose some break time</w:t>
            </w:r>
          </w:p>
          <w:p w:rsidR="007E1E8B" w:rsidRPr="00CF0AB1" w:rsidRDefault="007E1E8B" w:rsidP="007E1E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Yellow letter to parents (from CT)</w:t>
            </w:r>
          </w:p>
          <w:p w:rsidR="007E1E8B" w:rsidRPr="00CF0AB1" w:rsidRDefault="007E1E8B" w:rsidP="00B90065">
            <w:pPr>
              <w:pStyle w:val="ListParagraph"/>
              <w:rPr>
                <w:b/>
              </w:rPr>
            </w:pPr>
          </w:p>
        </w:tc>
      </w:tr>
      <w:tr w:rsidR="007E1E8B" w:rsidTr="00B90065">
        <w:tc>
          <w:tcPr>
            <w:tcW w:w="1308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More Serious one-off event</w:t>
            </w:r>
          </w:p>
        </w:tc>
        <w:tc>
          <w:tcPr>
            <w:tcW w:w="4172" w:type="dxa"/>
          </w:tcPr>
          <w:p w:rsidR="007E1E8B" w:rsidRDefault="007E1E8B" w:rsidP="007E1E8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Refer to SMT</w:t>
            </w:r>
          </w:p>
          <w:p w:rsidR="007E1E8B" w:rsidRPr="00CF0AB1" w:rsidRDefault="007E1E8B" w:rsidP="007E1E8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Orange letter (From HT)</w:t>
            </w:r>
          </w:p>
        </w:tc>
      </w:tr>
      <w:tr w:rsidR="007E1E8B" w:rsidTr="00B90065">
        <w:tc>
          <w:tcPr>
            <w:tcW w:w="1308" w:type="dxa"/>
          </w:tcPr>
          <w:p w:rsidR="007E1E8B" w:rsidRDefault="007E1E8B" w:rsidP="00B90065">
            <w:pPr>
              <w:rPr>
                <w:b/>
              </w:rPr>
            </w:pPr>
          </w:p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Persistent minor events which disrupt learning</w:t>
            </w:r>
          </w:p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Verbal or physical assaults</w:t>
            </w:r>
          </w:p>
        </w:tc>
        <w:tc>
          <w:tcPr>
            <w:tcW w:w="4172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The HT or PT will work with the CT, parents/carers and child to provide targets and support.  We will ask for support from other agencies if required.</w:t>
            </w:r>
          </w:p>
        </w:tc>
      </w:tr>
      <w:tr w:rsidR="007E1E8B" w:rsidTr="00B90065">
        <w:tc>
          <w:tcPr>
            <w:tcW w:w="1308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Where difficulties persists or escalate despite above interventions</w:t>
            </w:r>
          </w:p>
        </w:tc>
        <w:tc>
          <w:tcPr>
            <w:tcW w:w="4172" w:type="dxa"/>
          </w:tcPr>
          <w:p w:rsidR="007E1E8B" w:rsidRDefault="007E1E8B" w:rsidP="00B90065">
            <w:pPr>
              <w:rPr>
                <w:b/>
              </w:rPr>
            </w:pPr>
            <w:r>
              <w:rPr>
                <w:b/>
              </w:rPr>
              <w:t>The school will continue to work with the parents and young person.  We will engage the help of appropriate outside agencies.</w:t>
            </w:r>
          </w:p>
          <w:p w:rsidR="007E1E8B" w:rsidRDefault="007E1E8B" w:rsidP="00B90065">
            <w:pPr>
              <w:rPr>
                <w:b/>
              </w:rPr>
            </w:pPr>
          </w:p>
        </w:tc>
      </w:tr>
    </w:tbl>
    <w:p w:rsidR="007E1E8B" w:rsidRDefault="007E1E8B" w:rsidP="007E1E8B">
      <w:pPr>
        <w:ind w:left="360"/>
        <w:rPr>
          <w:b/>
        </w:rPr>
      </w:pPr>
    </w:p>
    <w:p w:rsidR="007E1E8B" w:rsidRPr="002D0A5A" w:rsidRDefault="007E1E8B" w:rsidP="007E1E8B">
      <w:pPr>
        <w:ind w:left="360"/>
        <w:rPr>
          <w:b/>
        </w:rPr>
      </w:pPr>
      <w:r>
        <w:rPr>
          <w:b/>
        </w:rPr>
        <w:t>Exclusion from school will be a last resort but remains as a possible option.  Action of this kind will be carried out in line with Falkirk Council policy.</w:t>
      </w:r>
    </w:p>
    <w:p w:rsidR="007E1E8B" w:rsidRDefault="007E1E8B" w:rsidP="0095032A">
      <w:pPr>
        <w:rPr>
          <w:rFonts w:cstheme="minorHAnsi"/>
        </w:rPr>
      </w:pPr>
    </w:p>
    <w:p w:rsidR="00761FEF" w:rsidRDefault="00761FEF" w:rsidP="0095032A">
      <w:pPr>
        <w:rPr>
          <w:rFonts w:cstheme="minorHAnsi"/>
        </w:rPr>
      </w:pPr>
      <w:r>
        <w:rPr>
          <w:rFonts w:cstheme="minorHAnsi"/>
        </w:rPr>
        <w:t>All of the above strategies have been designed to ensure there is a consistent approach to behaviour management.  The success of this policy will rely on a genuine partnership between pupils, staff, parents, carers</w:t>
      </w:r>
      <w:r w:rsidR="001934B4">
        <w:rPr>
          <w:rFonts w:cstheme="minorHAnsi"/>
        </w:rPr>
        <w:t>, partner</w:t>
      </w:r>
      <w:r>
        <w:rPr>
          <w:rFonts w:cstheme="minorHAnsi"/>
        </w:rPr>
        <w:t xml:space="preserve"> agencies and the wider community.</w:t>
      </w:r>
    </w:p>
    <w:p w:rsidR="00761FEF" w:rsidRDefault="00761FEF" w:rsidP="0095032A">
      <w:pPr>
        <w:rPr>
          <w:rFonts w:cstheme="minorHAnsi"/>
        </w:rPr>
      </w:pPr>
    </w:p>
    <w:p w:rsidR="00761FEF" w:rsidRPr="001934B4" w:rsidRDefault="00761FEF" w:rsidP="0095032A">
      <w:pPr>
        <w:rPr>
          <w:rFonts w:cstheme="minorHAnsi"/>
          <w:b/>
        </w:rPr>
      </w:pPr>
      <w:r w:rsidRPr="001934B4">
        <w:rPr>
          <w:rFonts w:cstheme="minorHAnsi"/>
          <w:b/>
        </w:rPr>
        <w:t>Falkirk Council Policies and Guidelines</w:t>
      </w:r>
    </w:p>
    <w:p w:rsidR="00761FEF" w:rsidRDefault="0083022E" w:rsidP="0095032A">
      <w:pPr>
        <w:rPr>
          <w:rFonts w:cstheme="minorHAnsi"/>
        </w:rPr>
      </w:pPr>
      <w:hyperlink r:id="rId16" w:history="1">
        <w:r w:rsidR="001934B4" w:rsidRPr="00E41506">
          <w:rPr>
            <w:rStyle w:val="Hyperlink"/>
            <w:rFonts w:cstheme="minorHAnsi"/>
          </w:rPr>
          <w:t>http://underground.falkirk.gov.uk/corporate/services/education/policies_strategies/docs/pupil_support_behaviour/sc10.pdf</w:t>
        </w:r>
      </w:hyperlink>
    </w:p>
    <w:p w:rsidR="001934B4" w:rsidRDefault="0083022E" w:rsidP="0095032A">
      <w:pPr>
        <w:rPr>
          <w:rFonts w:cstheme="minorHAnsi"/>
        </w:rPr>
      </w:pPr>
      <w:hyperlink r:id="rId17" w:history="1">
        <w:r w:rsidR="001934B4" w:rsidRPr="00E41506">
          <w:rPr>
            <w:rStyle w:val="Hyperlink"/>
            <w:rFonts w:cstheme="minorHAnsi"/>
          </w:rPr>
          <w:t>http://underground.falkirk.gov.uk/corporate/services/education/policies_strategies/docs/pupil_support_behaviour/positive_behaviour_leaflet.pdf</w:t>
        </w:r>
      </w:hyperlink>
    </w:p>
    <w:p w:rsidR="001934B4" w:rsidRDefault="0083022E" w:rsidP="0095032A">
      <w:pPr>
        <w:rPr>
          <w:rFonts w:cstheme="minorHAnsi"/>
        </w:rPr>
      </w:pPr>
      <w:hyperlink r:id="rId18" w:history="1">
        <w:r w:rsidR="001934B4" w:rsidRPr="00E41506">
          <w:rPr>
            <w:rStyle w:val="Hyperlink"/>
            <w:rFonts w:cstheme="minorHAnsi"/>
          </w:rPr>
          <w:t>http://underground.falkirk.gov.uk/corporate/services/education/policies_strategies/docs/pupil_support_behaviour/anti_bullying_policy.pdf</w:t>
        </w:r>
      </w:hyperlink>
    </w:p>
    <w:p w:rsidR="001934B4" w:rsidRPr="004D4B47" w:rsidRDefault="001934B4" w:rsidP="0095032A">
      <w:pPr>
        <w:rPr>
          <w:rFonts w:cstheme="minorHAnsi"/>
        </w:rPr>
      </w:pPr>
    </w:p>
    <w:sectPr w:rsidR="001934B4" w:rsidRPr="004D4B47" w:rsidSect="009503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AA" w:rsidRDefault="00735DAA" w:rsidP="001934B4">
      <w:pPr>
        <w:spacing w:after="0" w:line="240" w:lineRule="auto"/>
      </w:pPr>
      <w:r>
        <w:separator/>
      </w:r>
    </w:p>
  </w:endnote>
  <w:endnote w:type="continuationSeparator" w:id="0">
    <w:p w:rsidR="00735DAA" w:rsidRDefault="00735DAA" w:rsidP="0019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A" w:rsidRDefault="00735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A" w:rsidRDefault="00735D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A" w:rsidRDefault="00735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AA" w:rsidRDefault="00735DAA" w:rsidP="001934B4">
      <w:pPr>
        <w:spacing w:after="0" w:line="240" w:lineRule="auto"/>
      </w:pPr>
      <w:r>
        <w:separator/>
      </w:r>
    </w:p>
  </w:footnote>
  <w:footnote w:type="continuationSeparator" w:id="0">
    <w:p w:rsidR="00735DAA" w:rsidRDefault="00735DAA" w:rsidP="0019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A" w:rsidRDefault="00735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08069"/>
      <w:docPartObj>
        <w:docPartGallery w:val="Watermarks"/>
        <w:docPartUnique/>
      </w:docPartObj>
    </w:sdtPr>
    <w:sdtEndPr/>
    <w:sdtContent>
      <w:p w:rsidR="00735DAA" w:rsidRDefault="0083022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A" w:rsidRDefault="00735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43A"/>
    <w:multiLevelType w:val="hybridMultilevel"/>
    <w:tmpl w:val="94EC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1AC9"/>
    <w:multiLevelType w:val="hybridMultilevel"/>
    <w:tmpl w:val="A0B2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901"/>
    <w:multiLevelType w:val="hybridMultilevel"/>
    <w:tmpl w:val="92D0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5B0A"/>
    <w:multiLevelType w:val="hybridMultilevel"/>
    <w:tmpl w:val="9A0E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077C5"/>
    <w:multiLevelType w:val="hybridMultilevel"/>
    <w:tmpl w:val="FF8E8D3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E6C2061"/>
    <w:multiLevelType w:val="hybridMultilevel"/>
    <w:tmpl w:val="E1980D6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F4FD5"/>
    <w:multiLevelType w:val="hybridMultilevel"/>
    <w:tmpl w:val="C6FE7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6344D4"/>
    <w:multiLevelType w:val="hybridMultilevel"/>
    <w:tmpl w:val="70D62F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A"/>
    <w:rsid w:val="000C76E3"/>
    <w:rsid w:val="000E7ACE"/>
    <w:rsid w:val="001934B4"/>
    <w:rsid w:val="002C641C"/>
    <w:rsid w:val="003D07C8"/>
    <w:rsid w:val="003E1A2E"/>
    <w:rsid w:val="004D4B47"/>
    <w:rsid w:val="00735DAA"/>
    <w:rsid w:val="00761FEF"/>
    <w:rsid w:val="007E1E8B"/>
    <w:rsid w:val="0083022E"/>
    <w:rsid w:val="0092645E"/>
    <w:rsid w:val="0095032A"/>
    <w:rsid w:val="00A6234B"/>
    <w:rsid w:val="00AF1E73"/>
    <w:rsid w:val="00B90065"/>
    <w:rsid w:val="00EB2D19"/>
    <w:rsid w:val="00F36E57"/>
    <w:rsid w:val="00F5304C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A2E"/>
    <w:pPr>
      <w:ind w:left="720"/>
      <w:contextualSpacing/>
    </w:pPr>
  </w:style>
  <w:style w:type="table" w:styleId="TableGrid">
    <w:name w:val="Table Grid"/>
    <w:basedOn w:val="TableNormal"/>
    <w:uiPriority w:val="59"/>
    <w:rsid w:val="00A6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34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B4"/>
  </w:style>
  <w:style w:type="paragraph" w:styleId="Footer">
    <w:name w:val="footer"/>
    <w:basedOn w:val="Normal"/>
    <w:link w:val="FooterChar"/>
    <w:uiPriority w:val="99"/>
    <w:unhideWhenUsed/>
    <w:rsid w:val="0019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A2E"/>
    <w:pPr>
      <w:ind w:left="720"/>
      <w:contextualSpacing/>
    </w:pPr>
  </w:style>
  <w:style w:type="table" w:styleId="TableGrid">
    <w:name w:val="Table Grid"/>
    <w:basedOn w:val="TableNormal"/>
    <w:uiPriority w:val="59"/>
    <w:rsid w:val="00A6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34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B4"/>
  </w:style>
  <w:style w:type="paragraph" w:styleId="Footer">
    <w:name w:val="footer"/>
    <w:basedOn w:val="Normal"/>
    <w:link w:val="FooterChar"/>
    <w:uiPriority w:val="99"/>
    <w:unhideWhenUsed/>
    <w:rsid w:val="0019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underground.falkirk.gov.uk/corporate/services/education/policies_strategies/docs/pupil_support_behaviour/anti_bullying_policy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underground.falkirk.gov.uk/corporate/services/education/policies_strategies/docs/pupil_support_behaviour/positive_behaviour_leaflet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derground.falkirk.gov.uk/corporate/services/education/policies_strategies/docs/pupil_support_behaviour/sc10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46CBDD1D</Template>
  <TotalTime>0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Quinn</dc:creator>
  <cp:lastModifiedBy>Catherine Quinn</cp:lastModifiedBy>
  <cp:revision>2</cp:revision>
  <dcterms:created xsi:type="dcterms:W3CDTF">2015-02-24T11:15:00Z</dcterms:created>
  <dcterms:modified xsi:type="dcterms:W3CDTF">2015-02-24T11:15:00Z</dcterms:modified>
</cp:coreProperties>
</file>